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Supplementary materials</w:t>
      </w:r>
    </w:p>
    <w:p>
      <w:pPr>
        <w:spacing w:line="360" w:lineRule="auto"/>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t>Supplementary material S1 The Hospital Anxiety and Depression Scale (HADS)</w:t>
      </w:r>
    </w:p>
    <w:p>
      <w:pPr>
        <w:widowControl/>
        <w:spacing w:line="360" w:lineRule="auto"/>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Emotions play an important role in most diseases. If the doctor understands your mood changes, they can give you more help. Please read the following items. Among them are the ones that best match your emotional situation in the past month Hit "√" inside. Don't think too much about the answers to these questions. Answers made immediately are often more realistic.</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23"/>
        <w:gridCol w:w="1370"/>
        <w:gridCol w:w="1371"/>
        <w:gridCol w:w="1371"/>
        <w:gridCol w:w="137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Borders>
              <w:bottom w:val="single" w:color="auto" w:sz="4" w:space="0"/>
            </w:tcBorders>
          </w:tcPr>
          <w:p>
            <w:pPr>
              <w:widowControl/>
              <w:spacing w:line="360" w:lineRule="auto"/>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Items</w:t>
            </w:r>
          </w:p>
        </w:tc>
        <w:tc>
          <w:tcPr>
            <w:tcW w:w="1370" w:type="dxa"/>
            <w:tcBorders>
              <w:bottom w:val="single" w:color="auto" w:sz="4" w:space="0"/>
            </w:tcBorders>
          </w:tcPr>
          <w:p>
            <w:pPr>
              <w:widowControl/>
              <w:spacing w:line="360" w:lineRule="auto"/>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N</w:t>
            </w:r>
            <w:r>
              <w:rPr>
                <w:rFonts w:ascii="Times New Roman" w:hAnsi="Times New Roman" w:eastAsia="宋体" w:cs="Times New Roman"/>
                <w:color w:val="000000"/>
                <w:szCs w:val="21"/>
              </w:rPr>
              <w:t>ever</w:t>
            </w:r>
          </w:p>
        </w:tc>
        <w:tc>
          <w:tcPr>
            <w:tcW w:w="1371" w:type="dxa"/>
            <w:tcBorders>
              <w:bottom w:val="single" w:color="auto" w:sz="4" w:space="0"/>
            </w:tcBorders>
          </w:tcPr>
          <w:p>
            <w:pPr>
              <w:widowControl/>
              <w:spacing w:line="360" w:lineRule="auto"/>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S</w:t>
            </w:r>
            <w:r>
              <w:rPr>
                <w:rFonts w:ascii="Times New Roman" w:hAnsi="Times New Roman" w:eastAsia="宋体" w:cs="Times New Roman"/>
                <w:color w:val="000000"/>
                <w:szCs w:val="21"/>
              </w:rPr>
              <w:t>ometimes</w:t>
            </w:r>
          </w:p>
        </w:tc>
        <w:tc>
          <w:tcPr>
            <w:tcW w:w="1371" w:type="dxa"/>
            <w:tcBorders>
              <w:bottom w:val="single" w:color="auto" w:sz="4" w:space="0"/>
            </w:tcBorders>
          </w:tcPr>
          <w:p>
            <w:pPr>
              <w:widowControl/>
              <w:spacing w:line="360" w:lineRule="auto"/>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U</w:t>
            </w:r>
            <w:r>
              <w:rPr>
                <w:rFonts w:ascii="Times New Roman" w:hAnsi="Times New Roman" w:eastAsia="宋体" w:cs="Times New Roman"/>
                <w:color w:val="000000"/>
                <w:szCs w:val="21"/>
              </w:rPr>
              <w:t>sually</w:t>
            </w:r>
          </w:p>
        </w:tc>
        <w:tc>
          <w:tcPr>
            <w:tcW w:w="1371" w:type="dxa"/>
            <w:tcBorders>
              <w:bottom w:val="single" w:color="auto" w:sz="4" w:space="0"/>
            </w:tcBorders>
          </w:tcPr>
          <w:p>
            <w:pPr>
              <w:widowControl/>
              <w:spacing w:line="360" w:lineRule="auto"/>
              <w:jc w:val="left"/>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O</w:t>
            </w:r>
            <w:r>
              <w:rPr>
                <w:rFonts w:ascii="Times New Roman" w:hAnsi="Times New Roman" w:eastAsia="宋体" w:cs="Times New Roman"/>
                <w:color w:val="000000"/>
                <w:szCs w:val="21"/>
              </w:rPr>
              <w:t>ften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Borders>
              <w:top w:val="single" w:color="auto" w:sz="4" w:space="0"/>
            </w:tcBorders>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 I feel nervous (or suffering) [A]</w:t>
            </w:r>
          </w:p>
        </w:tc>
        <w:tc>
          <w:tcPr>
            <w:tcW w:w="1370" w:type="dxa"/>
            <w:tcBorders>
              <w:top w:val="single" w:color="auto" w:sz="4" w:space="0"/>
            </w:tcBorders>
          </w:tcPr>
          <w:p>
            <w:pPr>
              <w:widowControl/>
              <w:spacing w:line="360" w:lineRule="auto"/>
              <w:jc w:val="left"/>
              <w:rPr>
                <w:rFonts w:ascii="Times New Roman" w:hAnsi="Times New Roman" w:eastAsia="宋体" w:cs="Times New Roman"/>
                <w:color w:val="000000"/>
                <w:szCs w:val="21"/>
              </w:rPr>
            </w:pPr>
          </w:p>
        </w:tc>
        <w:tc>
          <w:tcPr>
            <w:tcW w:w="1371" w:type="dxa"/>
            <w:tcBorders>
              <w:top w:val="single" w:color="auto" w:sz="4" w:space="0"/>
            </w:tcBorders>
          </w:tcPr>
          <w:p>
            <w:pPr>
              <w:widowControl/>
              <w:spacing w:line="360" w:lineRule="auto"/>
              <w:jc w:val="left"/>
              <w:rPr>
                <w:rFonts w:ascii="Times New Roman" w:hAnsi="Times New Roman" w:eastAsia="宋体" w:cs="Times New Roman"/>
                <w:color w:val="000000"/>
                <w:szCs w:val="21"/>
              </w:rPr>
            </w:pPr>
          </w:p>
        </w:tc>
        <w:tc>
          <w:tcPr>
            <w:tcW w:w="1371" w:type="dxa"/>
            <w:tcBorders>
              <w:top w:val="single" w:color="auto" w:sz="4" w:space="0"/>
            </w:tcBorders>
          </w:tcPr>
          <w:p>
            <w:pPr>
              <w:widowControl/>
              <w:spacing w:line="360" w:lineRule="auto"/>
              <w:jc w:val="left"/>
              <w:rPr>
                <w:rFonts w:ascii="Times New Roman" w:hAnsi="Times New Roman" w:eastAsia="宋体" w:cs="Times New Roman"/>
                <w:color w:val="000000"/>
                <w:szCs w:val="21"/>
              </w:rPr>
            </w:pPr>
          </w:p>
        </w:tc>
        <w:tc>
          <w:tcPr>
            <w:tcW w:w="1371" w:type="dxa"/>
            <w:tcBorders>
              <w:top w:val="single" w:color="auto" w:sz="4" w:space="0"/>
            </w:tcBorders>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2. I am still interested in the right things in the past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3. I feel a bit scared, as if I foresee something terrible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4. I can laugh and see the good side of things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5. My heart is full of troubles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6. I feel happy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7. I can sit comfortably and easily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8.I lose interest in my appearance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9. I'm a little restless, as if I feel compelled to move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10. I look forward optimistically to everything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11. I suddenly found a sense of panic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12. I seem to be feeling depressed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13. I feel a little scared, as if an internal organ has changed [A]</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23" w:type="dxa"/>
          </w:tcPr>
          <w:p>
            <w:pPr>
              <w:widowControl/>
              <w:spacing w:line="360" w:lineRule="auto"/>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14.I can enjoy a good book or a good radio or TV show [D]</w:t>
            </w:r>
          </w:p>
        </w:tc>
        <w:tc>
          <w:tcPr>
            <w:tcW w:w="1370"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c>
          <w:tcPr>
            <w:tcW w:w="1371" w:type="dxa"/>
          </w:tcPr>
          <w:p>
            <w:pPr>
              <w:widowControl/>
              <w:spacing w:line="360" w:lineRule="auto"/>
              <w:jc w:val="left"/>
              <w:rPr>
                <w:rFonts w:ascii="Times New Roman" w:hAnsi="Times New Roman" w:eastAsia="宋体" w:cs="Times New Roman"/>
                <w:color w:val="000000"/>
                <w:szCs w:val="21"/>
              </w:rPr>
            </w:pPr>
          </w:p>
        </w:tc>
      </w:tr>
    </w:tbl>
    <w:p>
      <w:pPr>
        <w:widowControl/>
        <w:spacing w:line="360" w:lineRule="auto"/>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Scoring criteria: This table includes two subscales of anxiety and depression, each addressing 7 questions for anxiety [A] and depression [D]. The scores of the anxiety and depression subscales are divided into: 0-7 points are asymptomatic; 8-10 points are suspicious; 11-21 points are positive; in the score, 8 points are the starting point, including suspicious Those with symptoms were all positive.</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6822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freeb</dc:creator>
  <cp:lastModifiedBy>黑马王子</cp:lastModifiedBy>
  <dcterms:modified xsi:type="dcterms:W3CDTF">2020-02-29T14:48:50Z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